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8C6CD" w14:textId="592CB612" w:rsidR="00E16AB0" w:rsidRPr="007D1189" w:rsidRDefault="007D1189" w:rsidP="00E16AB0">
      <w:pPr>
        <w:jc w:val="center"/>
        <w:rPr>
          <w:rFonts w:ascii="GHEA Grapalat" w:hAnsi="GHEA Grapalat"/>
          <w:i/>
          <w:lang w:val="en-US"/>
        </w:rPr>
      </w:pPr>
      <w:r w:rsidRPr="007D1189">
        <w:rPr>
          <w:rFonts w:ascii="GHEA Grapalat" w:hAnsi="GHEA Grapalat"/>
          <w:sz w:val="28"/>
        </w:rPr>
        <w:t>ANNOUNCEMENT</w:t>
      </w:r>
      <w:r>
        <w:rPr>
          <w:rFonts w:ascii="GHEA Grapalat" w:hAnsi="GHEA Grapalat"/>
          <w:sz w:val="28"/>
          <w:lang w:val="en-US"/>
        </w:rPr>
        <w:t xml:space="preserve"> FOR </w:t>
      </w:r>
      <w:r w:rsidRPr="007D1189">
        <w:rPr>
          <w:rFonts w:ascii="GHEA Grapalat" w:hAnsi="GHEA Grapalat"/>
          <w:sz w:val="28"/>
        </w:rPr>
        <w:t xml:space="preserve"> OPEN </w:t>
      </w:r>
      <w:r>
        <w:rPr>
          <w:rFonts w:ascii="GHEA Grapalat" w:hAnsi="GHEA Grapalat"/>
          <w:sz w:val="28"/>
          <w:lang w:val="en-US"/>
        </w:rPr>
        <w:t>PROPOSALS</w:t>
      </w:r>
    </w:p>
    <w:tbl>
      <w:tblPr>
        <w:tblStyle w:val="TableGrid"/>
        <w:tblW w:w="11065" w:type="dxa"/>
        <w:tblLook w:val="04A0" w:firstRow="1" w:lastRow="0" w:firstColumn="1" w:lastColumn="0" w:noHBand="0" w:noVBand="1"/>
      </w:tblPr>
      <w:tblGrid>
        <w:gridCol w:w="4135"/>
        <w:gridCol w:w="680"/>
        <w:gridCol w:w="6250"/>
      </w:tblGrid>
      <w:tr w:rsidR="00E16AB0" w:rsidRPr="0099222F" w14:paraId="64180DD7" w14:textId="77777777" w:rsidTr="004949FC">
        <w:tc>
          <w:tcPr>
            <w:tcW w:w="4815" w:type="dxa"/>
            <w:gridSpan w:val="2"/>
          </w:tcPr>
          <w:p w14:paraId="3EEF5C92" w14:textId="6A27F118" w:rsidR="00E16AB0" w:rsidRPr="00A36628" w:rsidRDefault="007D1189" w:rsidP="00E16AB0">
            <w:pPr>
              <w:rPr>
                <w:rFonts w:ascii="GHEA Grapalat" w:hAnsi="GHEA Grapalat"/>
                <w:b/>
                <w:bCs/>
                <w:sz w:val="24"/>
                <w:szCs w:val="24"/>
              </w:rPr>
            </w:pPr>
            <w:r w:rsidRPr="007D1189">
              <w:rPr>
                <w:rFonts w:ascii="GHEA Grapalat" w:hAnsi="GHEA Grapalat"/>
                <w:b/>
                <w:bCs/>
                <w:sz w:val="24"/>
                <w:szCs w:val="24"/>
              </w:rPr>
              <w:t>Subject of request for proposals</w:t>
            </w:r>
          </w:p>
        </w:tc>
        <w:tc>
          <w:tcPr>
            <w:tcW w:w="6250" w:type="dxa"/>
            <w:shd w:val="clear" w:color="auto" w:fill="auto"/>
          </w:tcPr>
          <w:p w14:paraId="7FBF2C6B" w14:textId="687A0092" w:rsidR="00506215" w:rsidRPr="00B92EDA" w:rsidRDefault="00B422EE" w:rsidP="007F0E9A">
            <w:pPr>
              <w:pStyle w:val="Heading2"/>
              <w:shd w:val="clear" w:color="auto" w:fill="FFFFFF"/>
              <w:spacing w:before="0" w:beforeAutospacing="0" w:after="0" w:afterAutospacing="0"/>
              <w:outlineLvl w:val="1"/>
              <w:rPr>
                <w:rFonts w:ascii="GHEA Grapalat" w:eastAsiaTheme="minorHAnsi" w:hAnsi="GHEA Grapalat" w:cstheme="minorBidi"/>
                <w:b w:val="0"/>
                <w:bCs w:val="0"/>
                <w:sz w:val="24"/>
                <w:szCs w:val="24"/>
                <w:lang w:val="hy-AM"/>
              </w:rPr>
            </w:pPr>
            <w:r w:rsidRPr="00B422EE">
              <w:rPr>
                <w:rFonts w:ascii="GHEA Grapalat" w:eastAsiaTheme="minorHAnsi" w:hAnsi="GHEA Grapalat" w:cstheme="minorBidi"/>
                <w:b w:val="0"/>
                <w:bCs w:val="0"/>
                <w:sz w:val="24"/>
                <w:szCs w:val="24"/>
                <w:lang w:val="hy-AM"/>
              </w:rPr>
              <w:t>Tender for the purchase of a destemmer-crusher</w:t>
            </w:r>
            <w:r>
              <w:rPr>
                <w:rFonts w:ascii="GHEA Grapalat" w:eastAsiaTheme="minorHAnsi" w:hAnsi="GHEA Grapalat" w:cstheme="minorBidi"/>
                <w:b w:val="0"/>
                <w:bCs w:val="0"/>
                <w:sz w:val="24"/>
                <w:szCs w:val="24"/>
                <w:lang w:val="hy-AM"/>
              </w:rPr>
              <w:t xml:space="preserve"> </w:t>
            </w:r>
            <w:r>
              <w:rPr>
                <w:rFonts w:ascii="GHEA Grapalat" w:eastAsiaTheme="minorHAnsi" w:hAnsi="GHEA Grapalat" w:cstheme="minorBidi"/>
                <w:b w:val="0"/>
                <w:bCs w:val="0"/>
                <w:sz w:val="24"/>
                <w:szCs w:val="24"/>
              </w:rPr>
              <w:t>and</w:t>
            </w:r>
            <w:r w:rsidRPr="00B422EE">
              <w:rPr>
                <w:rFonts w:ascii="GHEA Grapalat" w:eastAsiaTheme="minorHAnsi" w:hAnsi="GHEA Grapalat" w:cstheme="minorBidi"/>
                <w:b w:val="0"/>
                <w:bCs w:val="0"/>
                <w:sz w:val="24"/>
                <w:szCs w:val="24"/>
                <w:lang w:val="hy-AM"/>
              </w:rPr>
              <w:t xml:space="preserve"> </w:t>
            </w:r>
            <w:r>
              <w:rPr>
                <w:rFonts w:ascii="GHEA Grapalat" w:eastAsiaTheme="minorHAnsi" w:hAnsi="GHEA Grapalat" w:cstheme="minorBidi"/>
                <w:b w:val="0"/>
                <w:bCs w:val="0"/>
                <w:sz w:val="24"/>
                <w:szCs w:val="24"/>
              </w:rPr>
              <w:t xml:space="preserve">a </w:t>
            </w:r>
            <w:r w:rsidRPr="00B422EE">
              <w:rPr>
                <w:rFonts w:ascii="GHEA Grapalat" w:eastAsiaTheme="minorHAnsi" w:hAnsi="GHEA Grapalat" w:cstheme="minorBidi"/>
                <w:b w:val="0"/>
                <w:bCs w:val="0"/>
                <w:sz w:val="24"/>
                <w:szCs w:val="24"/>
                <w:lang w:val="hy-AM"/>
              </w:rPr>
              <w:t>mono pump for transporting grapes within the framework of the tender for the purchase of winemaking equipment.</w:t>
            </w:r>
          </w:p>
        </w:tc>
      </w:tr>
      <w:tr w:rsidR="00FB1692" w:rsidRPr="0099222F" w14:paraId="2325D4B2" w14:textId="77777777" w:rsidTr="004949FC">
        <w:tc>
          <w:tcPr>
            <w:tcW w:w="4815" w:type="dxa"/>
            <w:gridSpan w:val="2"/>
          </w:tcPr>
          <w:p w14:paraId="09D7CC72" w14:textId="02DBC17F" w:rsidR="00FB1692" w:rsidRPr="007D1189" w:rsidRDefault="007D1189" w:rsidP="00FB1692">
            <w:pPr>
              <w:rPr>
                <w:rFonts w:ascii="GHEA Grapalat" w:hAnsi="GHEA Grapalat"/>
                <w:b/>
                <w:bCs/>
                <w:sz w:val="24"/>
                <w:szCs w:val="24"/>
                <w:highlight w:val="yellow"/>
              </w:rPr>
            </w:pPr>
            <w:r>
              <w:rPr>
                <w:rFonts w:ascii="GHEA Grapalat" w:hAnsi="GHEA Grapalat"/>
                <w:b/>
                <w:bCs/>
                <w:sz w:val="24"/>
                <w:szCs w:val="24"/>
                <w:lang w:val="en-US"/>
              </w:rPr>
              <w:t>T</w:t>
            </w:r>
            <w:r w:rsidRPr="007D1189">
              <w:rPr>
                <w:rFonts w:ascii="GHEA Grapalat" w:hAnsi="GHEA Grapalat"/>
                <w:b/>
                <w:bCs/>
                <w:sz w:val="24"/>
                <w:szCs w:val="24"/>
              </w:rPr>
              <w:t>ender reference:</w:t>
            </w:r>
          </w:p>
        </w:tc>
        <w:tc>
          <w:tcPr>
            <w:tcW w:w="6250" w:type="dxa"/>
            <w:shd w:val="clear" w:color="auto" w:fill="auto"/>
          </w:tcPr>
          <w:p w14:paraId="36CAF500" w14:textId="442A79D8" w:rsidR="00FB1692" w:rsidRPr="00F37160" w:rsidRDefault="007D1189" w:rsidP="00945E90">
            <w:pPr>
              <w:jc w:val="center"/>
              <w:rPr>
                <w:rFonts w:ascii="GHEA Grapalat" w:hAnsi="GHEA Grapalat"/>
                <w:sz w:val="24"/>
                <w:szCs w:val="24"/>
              </w:rPr>
            </w:pPr>
            <w:r w:rsidRPr="007D1189">
              <w:rPr>
                <w:rFonts w:ascii="GHEA Grapalat" w:hAnsi="GHEA Grapalat"/>
                <w:sz w:val="24"/>
                <w:szCs w:val="24"/>
              </w:rPr>
              <w:t>ICARE-WM/025/AM/22</w:t>
            </w:r>
          </w:p>
        </w:tc>
      </w:tr>
      <w:tr w:rsidR="00E16AB0" w:rsidRPr="0099222F" w14:paraId="78B39A84" w14:textId="77777777" w:rsidTr="004949FC">
        <w:trPr>
          <w:trHeight w:val="1844"/>
        </w:trPr>
        <w:tc>
          <w:tcPr>
            <w:tcW w:w="4815" w:type="dxa"/>
            <w:gridSpan w:val="2"/>
          </w:tcPr>
          <w:p w14:paraId="5C265CD6" w14:textId="6B5540AD" w:rsidR="00E16AB0" w:rsidRPr="00A36628" w:rsidRDefault="007D1189" w:rsidP="00E16AB0">
            <w:pPr>
              <w:rPr>
                <w:rFonts w:ascii="GHEA Grapalat" w:hAnsi="GHEA Grapalat"/>
                <w:b/>
                <w:bCs/>
                <w:sz w:val="24"/>
                <w:szCs w:val="24"/>
              </w:rPr>
            </w:pPr>
            <w:r w:rsidRPr="007D1189">
              <w:rPr>
                <w:rFonts w:ascii="GHEA Grapalat" w:hAnsi="GHEA Grapalat"/>
                <w:b/>
                <w:bCs/>
                <w:sz w:val="24"/>
                <w:szCs w:val="24"/>
              </w:rPr>
              <w:t>Customer</w:t>
            </w:r>
          </w:p>
        </w:tc>
        <w:tc>
          <w:tcPr>
            <w:tcW w:w="6250" w:type="dxa"/>
          </w:tcPr>
          <w:p w14:paraId="46C46DC3" w14:textId="57798AAA" w:rsidR="009E1CB0" w:rsidRPr="009E1CB0" w:rsidRDefault="007D1189" w:rsidP="00663F79">
            <w:pPr>
              <w:jc w:val="both"/>
              <w:rPr>
                <w:rFonts w:ascii="GHEA Grapalat" w:hAnsi="GHEA Grapalat"/>
                <w:sz w:val="24"/>
                <w:szCs w:val="24"/>
                <w:lang w:val="en-US"/>
              </w:rPr>
            </w:pPr>
            <w:r w:rsidRPr="007D1189">
              <w:rPr>
                <w:rFonts w:ascii="GHEA Grapalat" w:hAnsi="GHEA Grapalat"/>
                <w:sz w:val="24"/>
                <w:szCs w:val="24"/>
              </w:rPr>
              <w:t>Establishing a Student Winery for Practical Learning and Training (WINE-MAKER) project is co-financed by ICARE Foundation and H.Hovnanian Family Foundation.</w:t>
            </w:r>
          </w:p>
        </w:tc>
      </w:tr>
      <w:tr w:rsidR="00E16AB0" w:rsidRPr="0099222F" w14:paraId="44F8A770" w14:textId="77777777" w:rsidTr="004949FC">
        <w:tc>
          <w:tcPr>
            <w:tcW w:w="4815" w:type="dxa"/>
            <w:gridSpan w:val="2"/>
          </w:tcPr>
          <w:p w14:paraId="1D3BC180" w14:textId="62FD357C" w:rsidR="00E16AB0" w:rsidRPr="007D1189" w:rsidRDefault="007D1189">
            <w:pPr>
              <w:rPr>
                <w:rFonts w:ascii="GHEA Grapalat" w:hAnsi="GHEA Grapalat"/>
                <w:b/>
                <w:bCs/>
                <w:sz w:val="24"/>
                <w:szCs w:val="24"/>
                <w:lang w:val="en-US"/>
              </w:rPr>
            </w:pPr>
            <w:r w:rsidRPr="007D1189">
              <w:rPr>
                <w:rFonts w:ascii="GHEA Grapalat" w:hAnsi="GHEA Grapalat"/>
                <w:b/>
                <w:bCs/>
                <w:sz w:val="24"/>
                <w:szCs w:val="24"/>
                <w:lang w:val="en-US"/>
              </w:rPr>
              <w:t>Address</w:t>
            </w:r>
          </w:p>
        </w:tc>
        <w:tc>
          <w:tcPr>
            <w:tcW w:w="6250" w:type="dxa"/>
          </w:tcPr>
          <w:p w14:paraId="187B159B" w14:textId="550BEFFB" w:rsidR="00E16AB0" w:rsidRPr="009E1CB0" w:rsidRDefault="007D1189" w:rsidP="00E16AB0">
            <w:pPr>
              <w:jc w:val="center"/>
              <w:rPr>
                <w:rFonts w:ascii="GHEA Grapalat" w:hAnsi="GHEA Grapalat"/>
                <w:sz w:val="24"/>
                <w:szCs w:val="24"/>
              </w:rPr>
            </w:pPr>
            <w:r w:rsidRPr="007D1189">
              <w:rPr>
                <w:rFonts w:ascii="GHEA Grapalat" w:hAnsi="GHEA Grapalat"/>
                <w:sz w:val="24"/>
                <w:szCs w:val="24"/>
              </w:rPr>
              <w:t>2413, Kotayk region, Proshyan community, 5th street, 12th alley, number 1</w:t>
            </w:r>
          </w:p>
        </w:tc>
      </w:tr>
      <w:tr w:rsidR="00E16AB0" w:rsidRPr="0099222F" w14:paraId="3753203D" w14:textId="77777777" w:rsidTr="004949FC">
        <w:tc>
          <w:tcPr>
            <w:tcW w:w="4815" w:type="dxa"/>
            <w:gridSpan w:val="2"/>
          </w:tcPr>
          <w:p w14:paraId="123C3C25" w14:textId="7303B78A" w:rsidR="00E16AB0" w:rsidRPr="00A36628" w:rsidRDefault="007D1189" w:rsidP="008F319C">
            <w:pPr>
              <w:rPr>
                <w:rFonts w:ascii="GHEA Grapalat" w:hAnsi="GHEA Grapalat"/>
                <w:b/>
                <w:bCs/>
                <w:sz w:val="24"/>
                <w:szCs w:val="24"/>
              </w:rPr>
            </w:pPr>
            <w:r w:rsidRPr="007D1189">
              <w:rPr>
                <w:rFonts w:ascii="GHEA Grapalat" w:hAnsi="GHEA Grapalat"/>
                <w:b/>
                <w:bCs/>
                <w:sz w:val="24"/>
                <w:szCs w:val="24"/>
              </w:rPr>
              <w:t>Phone number</w:t>
            </w:r>
          </w:p>
        </w:tc>
        <w:tc>
          <w:tcPr>
            <w:tcW w:w="6250" w:type="dxa"/>
          </w:tcPr>
          <w:p w14:paraId="2BDC23B8" w14:textId="497DC1CC" w:rsidR="00E16AB0" w:rsidRPr="005157C3" w:rsidRDefault="00793B81" w:rsidP="00663F79">
            <w:pPr>
              <w:jc w:val="center"/>
              <w:rPr>
                <w:rFonts w:ascii="GHEA Grapalat" w:hAnsi="GHEA Grapalat"/>
                <w:sz w:val="24"/>
                <w:szCs w:val="24"/>
                <w:lang w:val="en-US"/>
              </w:rPr>
            </w:pPr>
            <w:r w:rsidRPr="005157C3">
              <w:rPr>
                <w:rFonts w:ascii="GHEA Grapalat" w:hAnsi="GHEA Grapalat"/>
                <w:sz w:val="24"/>
                <w:szCs w:val="24"/>
                <w:lang w:val="en-US"/>
              </w:rPr>
              <w:t>+374</w:t>
            </w:r>
            <w:r w:rsidR="00060AFB">
              <w:rPr>
                <w:rFonts w:ascii="GHEA Grapalat" w:hAnsi="GHEA Grapalat"/>
                <w:sz w:val="24"/>
                <w:szCs w:val="24"/>
              </w:rPr>
              <w:t xml:space="preserve"> </w:t>
            </w:r>
            <w:r w:rsidR="00663F79">
              <w:rPr>
                <w:rFonts w:ascii="GHEA Grapalat" w:hAnsi="GHEA Grapalat"/>
                <w:sz w:val="24"/>
                <w:szCs w:val="24"/>
              </w:rPr>
              <w:t>55 033 000</w:t>
            </w:r>
          </w:p>
        </w:tc>
      </w:tr>
      <w:tr w:rsidR="00E16AB0" w:rsidRPr="0099222F" w14:paraId="00202D3C" w14:textId="77777777" w:rsidTr="004949FC">
        <w:tc>
          <w:tcPr>
            <w:tcW w:w="4815" w:type="dxa"/>
            <w:gridSpan w:val="2"/>
          </w:tcPr>
          <w:p w14:paraId="43092698" w14:textId="749FBB5B" w:rsidR="00E16AB0" w:rsidRPr="007D1189" w:rsidRDefault="007D1189" w:rsidP="008F319C">
            <w:pPr>
              <w:rPr>
                <w:rFonts w:ascii="GHEA Grapalat" w:hAnsi="GHEA Grapalat"/>
                <w:b/>
                <w:bCs/>
                <w:sz w:val="24"/>
                <w:szCs w:val="24"/>
                <w:highlight w:val="yellow"/>
                <w:lang w:val="en-US"/>
              </w:rPr>
            </w:pPr>
            <w:r w:rsidRPr="007D1189">
              <w:rPr>
                <w:rFonts w:ascii="GHEA Grapalat" w:hAnsi="GHEA Grapalat"/>
                <w:b/>
                <w:bCs/>
                <w:sz w:val="24"/>
                <w:szCs w:val="24"/>
                <w:lang w:val="en-US"/>
              </w:rPr>
              <w:t>Responsible Person</w:t>
            </w:r>
          </w:p>
        </w:tc>
        <w:tc>
          <w:tcPr>
            <w:tcW w:w="6250" w:type="dxa"/>
          </w:tcPr>
          <w:p w14:paraId="511A7C52" w14:textId="0DFB8950" w:rsidR="00E16AB0" w:rsidRPr="0045338F" w:rsidRDefault="007D1189" w:rsidP="00E16AB0">
            <w:pPr>
              <w:jc w:val="center"/>
              <w:rPr>
                <w:rFonts w:ascii="GHEA Grapalat" w:hAnsi="GHEA Grapalat"/>
                <w:sz w:val="24"/>
                <w:szCs w:val="24"/>
              </w:rPr>
            </w:pPr>
            <w:proofErr w:type="spellStart"/>
            <w:r>
              <w:rPr>
                <w:rFonts w:ascii="GHEA Grapalat" w:hAnsi="GHEA Grapalat"/>
                <w:sz w:val="24"/>
                <w:szCs w:val="24"/>
                <w:lang w:val="en-US"/>
              </w:rPr>
              <w:t>Sona</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Khojoyan</w:t>
            </w:r>
            <w:proofErr w:type="spellEnd"/>
          </w:p>
        </w:tc>
      </w:tr>
      <w:tr w:rsidR="004B2167" w:rsidRPr="0099222F" w14:paraId="3874D35F" w14:textId="77777777" w:rsidTr="00DE0845">
        <w:tc>
          <w:tcPr>
            <w:tcW w:w="11065" w:type="dxa"/>
            <w:gridSpan w:val="3"/>
          </w:tcPr>
          <w:p w14:paraId="602CF9B7" w14:textId="41E503FE" w:rsidR="004B2167" w:rsidRPr="00C25F2D" w:rsidRDefault="00B422EE" w:rsidP="00B422EE">
            <w:pPr>
              <w:jc w:val="both"/>
              <w:rPr>
                <w:rFonts w:ascii="GHEA Grapalat" w:hAnsi="GHEA Grapalat"/>
                <w:sz w:val="24"/>
                <w:szCs w:val="24"/>
              </w:rPr>
            </w:pPr>
            <w:r w:rsidRPr="00B422EE">
              <w:rPr>
                <w:rFonts w:ascii="GHEA Grapalat" w:hAnsi="GHEA Grapalat"/>
                <w:sz w:val="24"/>
                <w:szCs w:val="24"/>
              </w:rPr>
              <w:t xml:space="preserve">The conditions for persons not eligible to participate in the open </w:t>
            </w:r>
            <w:r>
              <w:rPr>
                <w:rFonts w:ascii="GHEA Grapalat" w:hAnsi="GHEA Grapalat"/>
                <w:sz w:val="24"/>
                <w:szCs w:val="24"/>
                <w:lang w:val="en-US"/>
              </w:rPr>
              <w:t>proposals</w:t>
            </w:r>
            <w:r w:rsidRPr="00B422EE">
              <w:rPr>
                <w:rFonts w:ascii="GHEA Grapalat" w:hAnsi="GHEA Grapalat"/>
                <w:sz w:val="24"/>
                <w:szCs w:val="24"/>
              </w:rPr>
              <w:t xml:space="preserve">, as well as for the </w:t>
            </w:r>
            <w:r>
              <w:rPr>
                <w:rFonts w:ascii="GHEA Grapalat" w:hAnsi="GHEA Grapalat"/>
                <w:sz w:val="24"/>
                <w:szCs w:val="24"/>
                <w:lang w:val="en-US"/>
              </w:rPr>
              <w:t>participants</w:t>
            </w:r>
            <w:r w:rsidRPr="00B422EE">
              <w:rPr>
                <w:rFonts w:ascii="GHEA Grapalat" w:hAnsi="GHEA Grapalat"/>
                <w:sz w:val="24"/>
                <w:szCs w:val="24"/>
              </w:rPr>
              <w:t>, are set out in the invitation to this procedure.</w:t>
            </w:r>
          </w:p>
        </w:tc>
      </w:tr>
      <w:tr w:rsidR="00B373CF" w:rsidRPr="0099222F" w14:paraId="7A3FF128" w14:textId="77777777" w:rsidTr="00DE0845">
        <w:trPr>
          <w:trHeight w:val="1943"/>
        </w:trPr>
        <w:tc>
          <w:tcPr>
            <w:tcW w:w="11065" w:type="dxa"/>
            <w:gridSpan w:val="3"/>
          </w:tcPr>
          <w:p w14:paraId="74DDC0F2" w14:textId="40EE4571" w:rsidR="002016E7" w:rsidRPr="002016E7" w:rsidRDefault="002016E7" w:rsidP="002016E7">
            <w:pPr>
              <w:rPr>
                <w:rFonts w:ascii="GHEA Grapalat" w:hAnsi="GHEA Grapalat"/>
                <w:sz w:val="24"/>
                <w:szCs w:val="24"/>
                <w:lang w:eastAsia="ru-RU"/>
              </w:rPr>
            </w:pPr>
            <w:r w:rsidRPr="002016E7">
              <w:rPr>
                <w:rFonts w:ascii="GHEA Grapalat" w:hAnsi="GHEA Grapalat"/>
                <w:sz w:val="24"/>
                <w:szCs w:val="24"/>
                <w:lang w:eastAsia="ru-RU"/>
              </w:rPr>
              <w:t xml:space="preserve">The </w:t>
            </w:r>
            <w:r>
              <w:rPr>
                <w:rFonts w:ascii="GHEA Grapalat" w:hAnsi="GHEA Grapalat"/>
                <w:sz w:val="24"/>
                <w:szCs w:val="24"/>
                <w:lang w:val="en-US" w:eastAsia="ru-RU"/>
              </w:rPr>
              <w:t>Customer</w:t>
            </w:r>
            <w:r w:rsidRPr="002016E7">
              <w:rPr>
                <w:rFonts w:ascii="GHEA Grapalat" w:hAnsi="GHEA Grapalat"/>
                <w:sz w:val="24"/>
                <w:szCs w:val="24"/>
                <w:lang w:eastAsia="ru-RU"/>
              </w:rPr>
              <w:t xml:space="preserve"> (Organizer) has the right to extend the deadline for submission of </w:t>
            </w:r>
            <w:r w:rsidR="0059263E">
              <w:rPr>
                <w:rFonts w:ascii="GHEA Grapalat" w:hAnsi="GHEA Grapalat"/>
                <w:sz w:val="24"/>
                <w:szCs w:val="24"/>
                <w:lang w:val="en-US" w:eastAsia="ru-RU"/>
              </w:rPr>
              <w:t xml:space="preserve">a </w:t>
            </w:r>
            <w:r w:rsidRPr="002016E7">
              <w:rPr>
                <w:rFonts w:ascii="GHEA Grapalat" w:hAnsi="GHEA Grapalat"/>
                <w:sz w:val="24"/>
                <w:szCs w:val="24"/>
                <w:lang w:eastAsia="ru-RU"/>
              </w:rPr>
              <w:t>request for proposals at any time, by postponing the date and time of the bid opening session until the end of the bid submission deadline, as well as to make changes to the notice and request documents at any time.</w:t>
            </w:r>
          </w:p>
        </w:tc>
      </w:tr>
      <w:tr w:rsidR="004B2167" w:rsidRPr="0099222F" w14:paraId="7AEA0621" w14:textId="77777777" w:rsidTr="00DE0845">
        <w:tc>
          <w:tcPr>
            <w:tcW w:w="11065" w:type="dxa"/>
            <w:gridSpan w:val="3"/>
          </w:tcPr>
          <w:p w14:paraId="2383308B" w14:textId="678B4311" w:rsidR="002016E7" w:rsidRPr="00993C5C" w:rsidRDefault="002016E7" w:rsidP="004B2167">
            <w:pPr>
              <w:jc w:val="both"/>
              <w:rPr>
                <w:rFonts w:ascii="GHEA Grapalat" w:hAnsi="GHEA Grapalat"/>
                <w:sz w:val="24"/>
                <w:szCs w:val="24"/>
                <w:lang w:eastAsia="ru-RU"/>
              </w:rPr>
            </w:pPr>
            <w:r w:rsidRPr="002016E7">
              <w:rPr>
                <w:rFonts w:ascii="GHEA Grapalat" w:hAnsi="GHEA Grapalat"/>
                <w:sz w:val="24"/>
                <w:szCs w:val="24"/>
                <w:lang w:val="en-US" w:eastAsia="ru-RU"/>
              </w:rPr>
              <w:t xml:space="preserve">The </w:t>
            </w:r>
            <w:r>
              <w:rPr>
                <w:rFonts w:ascii="GHEA Grapalat" w:hAnsi="GHEA Grapalat"/>
                <w:sz w:val="24"/>
                <w:szCs w:val="24"/>
                <w:lang w:val="en-US" w:eastAsia="ru-RU"/>
              </w:rPr>
              <w:t>Customer</w:t>
            </w:r>
            <w:r w:rsidRPr="002016E7">
              <w:rPr>
                <w:rFonts w:ascii="GHEA Grapalat" w:hAnsi="GHEA Grapalat"/>
                <w:sz w:val="24"/>
                <w:szCs w:val="24"/>
                <w:lang w:eastAsia="ru-RU"/>
              </w:rPr>
              <w:t xml:space="preserve"> </w:t>
            </w:r>
            <w:r w:rsidRPr="002016E7">
              <w:rPr>
                <w:rFonts w:ascii="GHEA Grapalat" w:hAnsi="GHEA Grapalat"/>
                <w:sz w:val="24"/>
                <w:szCs w:val="24"/>
                <w:lang w:val="en-US" w:eastAsia="ru-RU"/>
              </w:rPr>
              <w:t xml:space="preserve">(Organizer) has the right to refuse to </w:t>
            </w:r>
            <w:r w:rsidR="00993C5C">
              <w:rPr>
                <w:rFonts w:ascii="GHEA Grapalat" w:hAnsi="GHEA Grapalat"/>
                <w:sz w:val="24"/>
                <w:szCs w:val="24"/>
                <w:lang w:val="en-US" w:eastAsia="ru-RU"/>
              </w:rPr>
              <w:t xml:space="preserve">organize a </w:t>
            </w:r>
            <w:r w:rsidR="00993C5C" w:rsidRPr="002016E7">
              <w:rPr>
                <w:rFonts w:ascii="GHEA Grapalat" w:hAnsi="GHEA Grapalat"/>
                <w:sz w:val="24"/>
                <w:szCs w:val="24"/>
                <w:lang w:eastAsia="ru-RU"/>
              </w:rPr>
              <w:t>request for proposals</w:t>
            </w:r>
            <w:r w:rsidRPr="002016E7">
              <w:rPr>
                <w:rFonts w:ascii="GHEA Grapalat" w:hAnsi="GHEA Grapalat"/>
                <w:sz w:val="24"/>
                <w:szCs w:val="24"/>
                <w:lang w:val="en-US" w:eastAsia="ru-RU"/>
              </w:rPr>
              <w:t xml:space="preserve"> at any time </w:t>
            </w:r>
            <w:r w:rsidR="00993C5C">
              <w:rPr>
                <w:rFonts w:ascii="GHEA Grapalat" w:hAnsi="GHEA Grapalat"/>
                <w:sz w:val="24"/>
                <w:szCs w:val="24"/>
                <w:lang w:val="en-US" w:eastAsia="ru-RU"/>
              </w:rPr>
              <w:t xml:space="preserve">and </w:t>
            </w:r>
            <w:r w:rsidRPr="002016E7">
              <w:rPr>
                <w:rFonts w:ascii="GHEA Grapalat" w:hAnsi="GHEA Grapalat"/>
                <w:sz w:val="24"/>
                <w:szCs w:val="24"/>
                <w:lang w:val="en-US" w:eastAsia="ru-RU"/>
              </w:rPr>
              <w:t>to complete the process without concluding a contract with</w:t>
            </w:r>
            <w:r w:rsidR="00993C5C">
              <w:rPr>
                <w:rFonts w:ascii="GHEA Grapalat" w:hAnsi="GHEA Grapalat"/>
                <w:sz w:val="24"/>
                <w:szCs w:val="24"/>
                <w:lang w:val="en-US" w:eastAsia="ru-RU"/>
              </w:rPr>
              <w:t xml:space="preserve"> </w:t>
            </w:r>
            <w:r w:rsidRPr="002016E7">
              <w:rPr>
                <w:rFonts w:ascii="GHEA Grapalat" w:hAnsi="GHEA Grapalat"/>
                <w:sz w:val="24"/>
                <w:szCs w:val="24"/>
                <w:lang w:val="en-US" w:eastAsia="ru-RU"/>
              </w:rPr>
              <w:t>the results of the request for</w:t>
            </w:r>
            <w:r w:rsidR="00993C5C">
              <w:rPr>
                <w:rFonts w:ascii="GHEA Grapalat" w:hAnsi="GHEA Grapalat"/>
                <w:sz w:val="24"/>
                <w:szCs w:val="24"/>
                <w:lang w:val="en-US" w:eastAsia="ru-RU"/>
              </w:rPr>
              <w:t xml:space="preserve"> proposals</w:t>
            </w:r>
            <w:r w:rsidRPr="002016E7">
              <w:rPr>
                <w:rFonts w:ascii="GHEA Grapalat" w:hAnsi="GHEA Grapalat"/>
                <w:sz w:val="24"/>
                <w:szCs w:val="24"/>
                <w:lang w:val="en-US" w:eastAsia="ru-RU"/>
              </w:rPr>
              <w:t xml:space="preserve">, and the </w:t>
            </w:r>
            <w:r w:rsidR="00993C5C">
              <w:rPr>
                <w:rFonts w:ascii="GHEA Grapalat" w:hAnsi="GHEA Grapalat"/>
                <w:sz w:val="24"/>
                <w:szCs w:val="24"/>
                <w:lang w:val="en-US" w:eastAsia="ru-RU"/>
              </w:rPr>
              <w:t>Customer</w:t>
            </w:r>
            <w:r w:rsidRPr="002016E7">
              <w:rPr>
                <w:rFonts w:ascii="GHEA Grapalat" w:hAnsi="GHEA Grapalat"/>
                <w:sz w:val="24"/>
                <w:szCs w:val="24"/>
                <w:lang w:val="en-US" w:eastAsia="ru-RU"/>
              </w:rPr>
              <w:t xml:space="preserve"> does not reimburse the costs incurred by the bidder.</w:t>
            </w:r>
          </w:p>
        </w:tc>
      </w:tr>
      <w:tr w:rsidR="004B2167" w:rsidRPr="0099222F" w14:paraId="5D5E41C9" w14:textId="77777777" w:rsidTr="00DE0845">
        <w:tc>
          <w:tcPr>
            <w:tcW w:w="11065" w:type="dxa"/>
            <w:gridSpan w:val="3"/>
          </w:tcPr>
          <w:p w14:paraId="7EFA24AF" w14:textId="16B837F1" w:rsidR="00993C5C" w:rsidRPr="00745B34" w:rsidRDefault="00993C5C" w:rsidP="008F319C">
            <w:pPr>
              <w:jc w:val="both"/>
              <w:rPr>
                <w:rFonts w:ascii="GHEA Grapalat" w:hAnsi="GHEA Grapalat"/>
                <w:sz w:val="24"/>
                <w:szCs w:val="24"/>
                <w:lang w:val="en-US"/>
              </w:rPr>
            </w:pPr>
            <w:r w:rsidRPr="00745B34">
              <w:rPr>
                <w:rFonts w:ascii="GHEA Grapalat" w:hAnsi="GHEA Grapalat"/>
                <w:sz w:val="24"/>
                <w:szCs w:val="24"/>
              </w:rPr>
              <w:t xml:space="preserve">The </w:t>
            </w:r>
            <w:r w:rsidRPr="00745B34">
              <w:rPr>
                <w:rFonts w:ascii="GHEA Grapalat" w:hAnsi="GHEA Grapalat"/>
                <w:sz w:val="24"/>
                <w:szCs w:val="24"/>
                <w:lang w:val="en-US" w:eastAsia="ru-RU"/>
              </w:rPr>
              <w:t>Customer</w:t>
            </w:r>
            <w:r w:rsidRPr="00745B34">
              <w:rPr>
                <w:rFonts w:ascii="GHEA Grapalat" w:hAnsi="GHEA Grapalat"/>
                <w:sz w:val="24"/>
                <w:szCs w:val="24"/>
                <w:lang w:eastAsia="ru-RU"/>
              </w:rPr>
              <w:t xml:space="preserve"> </w:t>
            </w:r>
            <w:r w:rsidRPr="00745B34">
              <w:rPr>
                <w:rFonts w:ascii="GHEA Grapalat" w:hAnsi="GHEA Grapalat"/>
                <w:sz w:val="24"/>
                <w:szCs w:val="24"/>
              </w:rPr>
              <w:t>(Organizer) has the right to change the date of consideration of the bids of the participants</w:t>
            </w:r>
            <w:r w:rsidR="00745B34" w:rsidRPr="00745B34">
              <w:rPr>
                <w:rFonts w:ascii="GHEA Grapalat" w:hAnsi="GHEA Grapalat"/>
                <w:sz w:val="24"/>
                <w:szCs w:val="24"/>
                <w:lang w:val="en-US"/>
              </w:rPr>
              <w:t xml:space="preserve"> and</w:t>
            </w:r>
            <w:r w:rsidRPr="00745B34">
              <w:rPr>
                <w:rFonts w:ascii="GHEA Grapalat" w:hAnsi="GHEA Grapalat"/>
                <w:sz w:val="24"/>
                <w:szCs w:val="24"/>
              </w:rPr>
              <w:t xml:space="preserve"> the place of summarizing the results of the bid inquiry</w:t>
            </w:r>
            <w:r w:rsidRPr="00745B34">
              <w:rPr>
                <w:rFonts w:ascii="GHEA Grapalat" w:hAnsi="GHEA Grapalat"/>
                <w:sz w:val="24"/>
                <w:szCs w:val="24"/>
                <w:lang w:val="en-US"/>
              </w:rPr>
              <w:t>.</w:t>
            </w:r>
          </w:p>
        </w:tc>
      </w:tr>
      <w:tr w:rsidR="004B2167" w:rsidRPr="0099222F" w14:paraId="42C53A7C" w14:textId="77777777" w:rsidTr="00DE0845">
        <w:tc>
          <w:tcPr>
            <w:tcW w:w="11065" w:type="dxa"/>
            <w:gridSpan w:val="3"/>
          </w:tcPr>
          <w:p w14:paraId="040EB1BC" w14:textId="290FB9AF" w:rsidR="004B2167" w:rsidRPr="00C25F2D" w:rsidRDefault="00745B34" w:rsidP="004B2167">
            <w:pPr>
              <w:jc w:val="both"/>
              <w:rPr>
                <w:rFonts w:ascii="GHEA Grapalat" w:hAnsi="GHEA Grapalat"/>
                <w:sz w:val="24"/>
                <w:szCs w:val="24"/>
                <w:lang w:eastAsia="ru-RU"/>
              </w:rPr>
            </w:pPr>
            <w:r w:rsidRPr="00745B34">
              <w:rPr>
                <w:rFonts w:ascii="GHEA Grapalat" w:hAnsi="GHEA Grapalat"/>
                <w:sz w:val="24"/>
                <w:szCs w:val="24"/>
                <w:lang w:eastAsia="ru-RU"/>
              </w:rPr>
              <w:t>The Bidder may amend, supplement or withdraw the Bids after they submit their Bids, provided that the Organizer receives written notice of the Bids being amended, supplemented</w:t>
            </w:r>
            <w:r w:rsidR="0059263E">
              <w:rPr>
                <w:rFonts w:ascii="GHEA Grapalat" w:hAnsi="GHEA Grapalat"/>
                <w:sz w:val="24"/>
                <w:szCs w:val="24"/>
                <w:lang w:val="en-US" w:eastAsia="ru-RU"/>
              </w:rPr>
              <w:t>,</w:t>
            </w:r>
            <w:bookmarkStart w:id="0" w:name="_GoBack"/>
            <w:bookmarkEnd w:id="0"/>
            <w:r w:rsidRPr="00745B34">
              <w:rPr>
                <w:rFonts w:ascii="GHEA Grapalat" w:hAnsi="GHEA Grapalat"/>
                <w:sz w:val="24"/>
                <w:szCs w:val="24"/>
                <w:lang w:eastAsia="ru-RU"/>
              </w:rPr>
              <w:t xml:space="preserve"> or withdrawn by the deadline for submission of Bids in the Bid Request Documents.</w:t>
            </w:r>
          </w:p>
        </w:tc>
      </w:tr>
      <w:tr w:rsidR="008F319C" w:rsidRPr="007F0E9A" w14:paraId="5A6F0DBD" w14:textId="77777777" w:rsidTr="00DE0845">
        <w:tc>
          <w:tcPr>
            <w:tcW w:w="4135" w:type="dxa"/>
          </w:tcPr>
          <w:p w14:paraId="410B7AF3" w14:textId="5C5BE48D" w:rsidR="008F319C" w:rsidRPr="007F0E9A" w:rsidRDefault="00AE1B13" w:rsidP="008F319C">
            <w:pPr>
              <w:spacing w:before="20" w:after="20"/>
              <w:rPr>
                <w:rFonts w:ascii="Arial" w:hAnsi="Arial" w:cs="Arial"/>
                <w:b/>
                <w:lang w:val="af-ZA"/>
              </w:rPr>
            </w:pPr>
            <w:r w:rsidRPr="007F0E9A">
              <w:rPr>
                <w:rFonts w:ascii="Arial" w:hAnsi="Arial" w:cs="Arial"/>
                <w:b/>
              </w:rPr>
              <w:t>Deadline for submission of bids, day, time</w:t>
            </w:r>
            <w:r w:rsidR="0059263E">
              <w:rPr>
                <w:rFonts w:ascii="Arial" w:hAnsi="Arial" w:cs="Arial"/>
                <w:b/>
                <w:lang w:val="en-US"/>
              </w:rPr>
              <w:t>,</w:t>
            </w:r>
            <w:r w:rsidRPr="007F0E9A">
              <w:rPr>
                <w:rFonts w:ascii="Arial" w:hAnsi="Arial" w:cs="Arial"/>
                <w:b/>
              </w:rPr>
              <w:t xml:space="preserve"> </w:t>
            </w:r>
            <w:r w:rsidRPr="007F0E9A">
              <w:rPr>
                <w:rFonts w:ascii="Arial" w:hAnsi="Arial" w:cs="Arial"/>
                <w:b/>
                <w:lang w:val="en-US"/>
              </w:rPr>
              <w:t>and</w:t>
            </w:r>
            <w:r w:rsidRPr="007F0E9A">
              <w:rPr>
                <w:rFonts w:ascii="Arial" w:hAnsi="Arial" w:cs="Arial"/>
                <w:b/>
              </w:rPr>
              <w:t xml:space="preserve"> place</w:t>
            </w:r>
          </w:p>
        </w:tc>
        <w:tc>
          <w:tcPr>
            <w:tcW w:w="6930" w:type="dxa"/>
            <w:gridSpan w:val="2"/>
          </w:tcPr>
          <w:p w14:paraId="256DAF1A" w14:textId="178EE00C" w:rsidR="00AE1B13" w:rsidRPr="007F0E9A" w:rsidRDefault="00186054" w:rsidP="00186054">
            <w:pPr>
              <w:jc w:val="both"/>
              <w:rPr>
                <w:rFonts w:ascii="Arial" w:hAnsi="Arial" w:cs="Arial"/>
                <w:lang w:val="en-US"/>
              </w:rPr>
            </w:pPr>
            <w:r w:rsidRPr="007F0E9A">
              <w:rPr>
                <w:rFonts w:ascii="Arial" w:hAnsi="Arial" w:cs="Arial"/>
                <w:lang w:val="af-ZA"/>
              </w:rPr>
              <w:t xml:space="preserve">a) </w:t>
            </w:r>
            <w:r w:rsidR="00AE1B13" w:rsidRPr="007F0E9A">
              <w:rPr>
                <w:rFonts w:ascii="Arial" w:hAnsi="Arial" w:cs="Arial"/>
                <w:lang w:val="en-US"/>
              </w:rPr>
              <w:t>Bids should be sent to The International Center for Agribusiness Research and Education</w:t>
            </w:r>
            <w:r w:rsidRPr="007F0E9A">
              <w:rPr>
                <w:rFonts w:ascii="Arial" w:hAnsi="Arial" w:cs="Arial"/>
                <w:lang w:val="en-US"/>
              </w:rPr>
              <w:t xml:space="preserve"> (ICARE) </w:t>
            </w:r>
            <w:r w:rsidR="00AE1B13" w:rsidRPr="007F0E9A">
              <w:rPr>
                <w:rFonts w:ascii="Arial" w:hAnsi="Arial" w:cs="Arial"/>
                <w:lang w:val="en-US"/>
              </w:rPr>
              <w:t>Foundation in a sealed envelope at the following address:</w:t>
            </w:r>
            <w:bookmarkStart w:id="1" w:name="_Hlk72334803"/>
            <w:r w:rsidR="007F0E9A">
              <w:rPr>
                <w:rFonts w:ascii="Arial" w:hAnsi="Arial" w:cs="Arial"/>
                <w:lang w:val="en-US"/>
              </w:rPr>
              <w:t xml:space="preserve"> 74 </w:t>
            </w:r>
            <w:proofErr w:type="spellStart"/>
            <w:r w:rsidR="007F0E9A">
              <w:rPr>
                <w:rFonts w:ascii="Arial" w:hAnsi="Arial" w:cs="Arial"/>
                <w:lang w:val="en-US"/>
              </w:rPr>
              <w:t>Teryan</w:t>
            </w:r>
            <w:proofErr w:type="spellEnd"/>
            <w:r w:rsidR="007F0E9A">
              <w:rPr>
                <w:rFonts w:ascii="Arial" w:hAnsi="Arial" w:cs="Arial"/>
                <w:lang w:val="en-US"/>
              </w:rPr>
              <w:t xml:space="preserve"> street,</w:t>
            </w:r>
            <w:r w:rsidR="00AE1B13" w:rsidRPr="007F0E9A">
              <w:rPr>
                <w:rFonts w:ascii="Arial" w:hAnsi="Arial" w:cs="Arial"/>
                <w:lang w:eastAsia="ru-RU"/>
              </w:rPr>
              <w:t xml:space="preserve"> 0009 Yerevan, Armenia</w:t>
            </w:r>
            <w:r w:rsidRPr="007F0E9A">
              <w:rPr>
                <w:rFonts w:ascii="Arial" w:hAnsi="Arial" w:cs="Arial"/>
                <w:lang w:val="en-US" w:eastAsia="ru-RU"/>
              </w:rPr>
              <w:t>.</w:t>
            </w:r>
          </w:p>
          <w:bookmarkEnd w:id="1"/>
          <w:p w14:paraId="4CE00827" w14:textId="10DF4810" w:rsidR="00DE0845" w:rsidRPr="007F0E9A" w:rsidRDefault="00186054" w:rsidP="00DE0845">
            <w:pPr>
              <w:spacing w:before="20" w:after="20"/>
              <w:jc w:val="both"/>
              <w:rPr>
                <w:rFonts w:ascii="Arial" w:hAnsi="Arial" w:cs="Arial"/>
              </w:rPr>
            </w:pPr>
            <w:r w:rsidRPr="007F0E9A">
              <w:rPr>
                <w:rFonts w:ascii="Arial" w:hAnsi="Arial" w:cs="Arial"/>
                <w:lang w:val="en-US"/>
              </w:rPr>
              <w:t xml:space="preserve">b) </w:t>
            </w:r>
            <w:r w:rsidRPr="007F0E9A">
              <w:rPr>
                <w:rFonts w:ascii="Arial" w:hAnsi="Arial" w:cs="Arial"/>
              </w:rPr>
              <w:t>The scanned package should be sent to the</w:t>
            </w:r>
            <w:r w:rsidRPr="007F0E9A">
              <w:rPr>
                <w:rFonts w:ascii="Arial" w:hAnsi="Arial" w:cs="Arial"/>
                <w:lang w:val="en-US"/>
              </w:rPr>
              <w:t xml:space="preserve"> International Center for Agribusiness Research and Education (ICARE) Foundation via </w:t>
            </w:r>
            <w:hyperlink r:id="rId5" w:history="1">
              <w:r w:rsidR="00EE2CC0" w:rsidRPr="007F0E9A">
                <w:rPr>
                  <w:rStyle w:val="Hyperlink"/>
                  <w:rFonts w:ascii="Arial" w:hAnsi="Arial" w:cs="Arial"/>
                </w:rPr>
                <w:t>info@icare.am</w:t>
              </w:r>
            </w:hyperlink>
            <w:r w:rsidR="00EE2CC0" w:rsidRPr="007F0E9A">
              <w:rPr>
                <w:rFonts w:ascii="Arial" w:hAnsi="Arial" w:cs="Arial"/>
              </w:rPr>
              <w:t xml:space="preserve">: </w:t>
            </w:r>
          </w:p>
          <w:p w14:paraId="7078840E" w14:textId="7C176878" w:rsidR="008F319C" w:rsidRPr="007F0E9A" w:rsidRDefault="00186054" w:rsidP="00DE0845">
            <w:pPr>
              <w:spacing w:before="20" w:after="20"/>
              <w:jc w:val="both"/>
              <w:rPr>
                <w:rFonts w:ascii="Arial" w:hAnsi="Arial" w:cs="Arial"/>
              </w:rPr>
            </w:pPr>
            <w:r w:rsidRPr="007F0E9A">
              <w:rPr>
                <w:rFonts w:ascii="Arial" w:hAnsi="Arial" w:cs="Arial"/>
              </w:rPr>
              <w:t>The application deadline is April 22, 2022</w:t>
            </w:r>
            <w:r w:rsidR="0059263E">
              <w:rPr>
                <w:rFonts w:ascii="Arial" w:hAnsi="Arial" w:cs="Arial"/>
                <w:lang w:val="en-US"/>
              </w:rPr>
              <w:t>,</w:t>
            </w:r>
            <w:r w:rsidRPr="007F0E9A">
              <w:rPr>
                <w:rFonts w:ascii="Arial" w:hAnsi="Arial" w:cs="Arial"/>
              </w:rPr>
              <w:t xml:space="preserve"> at 17:00.</w:t>
            </w:r>
          </w:p>
        </w:tc>
      </w:tr>
      <w:tr w:rsidR="008F319C" w:rsidRPr="007F0E9A" w14:paraId="4AC89927" w14:textId="77777777" w:rsidTr="00DE0845">
        <w:tc>
          <w:tcPr>
            <w:tcW w:w="4135" w:type="dxa"/>
          </w:tcPr>
          <w:p w14:paraId="716EE0DA" w14:textId="41CC7972" w:rsidR="008F319C" w:rsidRPr="007F0E9A" w:rsidRDefault="00AE1B13" w:rsidP="008F319C">
            <w:pPr>
              <w:spacing w:before="20" w:after="20"/>
              <w:rPr>
                <w:rFonts w:ascii="GHEA Grapalat" w:hAnsi="GHEA Grapalat"/>
                <w:b/>
                <w:sz w:val="24"/>
                <w:szCs w:val="24"/>
                <w:lang w:val="af-ZA"/>
              </w:rPr>
            </w:pPr>
            <w:r w:rsidRPr="007F0E9A">
              <w:rPr>
                <w:rFonts w:ascii="GHEA Grapalat" w:hAnsi="GHEA Grapalat"/>
                <w:b/>
                <w:sz w:val="24"/>
                <w:szCs w:val="24"/>
                <w:lang w:val="af-ZA"/>
              </w:rPr>
              <w:t>Venue of the bid opening session, day</w:t>
            </w:r>
            <w:r w:rsidR="0059263E">
              <w:rPr>
                <w:rFonts w:ascii="GHEA Grapalat" w:hAnsi="GHEA Grapalat"/>
                <w:b/>
                <w:sz w:val="24"/>
                <w:szCs w:val="24"/>
                <w:lang w:val="af-ZA"/>
              </w:rPr>
              <w:t>,</w:t>
            </w:r>
            <w:r w:rsidRPr="007F0E9A">
              <w:rPr>
                <w:rFonts w:ascii="GHEA Grapalat" w:hAnsi="GHEA Grapalat"/>
                <w:b/>
                <w:sz w:val="24"/>
                <w:szCs w:val="24"/>
                <w:lang w:val="af-ZA"/>
              </w:rPr>
              <w:t xml:space="preserve"> and time</w:t>
            </w:r>
          </w:p>
        </w:tc>
        <w:tc>
          <w:tcPr>
            <w:tcW w:w="6930" w:type="dxa"/>
            <w:gridSpan w:val="2"/>
          </w:tcPr>
          <w:p w14:paraId="45B4F931" w14:textId="4C5BE2C4" w:rsidR="008F319C" w:rsidRPr="007F0E9A" w:rsidRDefault="00186054" w:rsidP="00DE0845">
            <w:pPr>
              <w:spacing w:before="20" w:after="20"/>
              <w:jc w:val="both"/>
              <w:rPr>
                <w:rFonts w:ascii="GHEA Grapalat" w:hAnsi="GHEA Grapalat"/>
                <w:color w:val="000000" w:themeColor="text1"/>
                <w:sz w:val="24"/>
                <w:szCs w:val="24"/>
                <w:lang w:val="af-ZA"/>
              </w:rPr>
            </w:pPr>
            <w:r w:rsidRPr="007F0E9A">
              <w:rPr>
                <w:rFonts w:ascii="Arial" w:hAnsi="Arial" w:cs="Arial"/>
                <w:lang w:val="en-US"/>
              </w:rPr>
              <w:t>International Center for Agribusiness Research and Education (ICARE) Foundation</w:t>
            </w:r>
            <w:r w:rsidRPr="007F0E9A">
              <w:rPr>
                <w:rFonts w:ascii="Arial" w:hAnsi="Arial" w:cs="Arial"/>
              </w:rPr>
              <w:t xml:space="preserve"> </w:t>
            </w:r>
            <w:r w:rsidRPr="007F0E9A">
              <w:rPr>
                <w:rFonts w:ascii="Arial" w:hAnsi="Arial" w:cs="Arial"/>
                <w:lang w:eastAsia="ru-RU"/>
              </w:rPr>
              <w:t>74 Teryan Street</w:t>
            </w:r>
            <w:r w:rsidRPr="007F0E9A">
              <w:rPr>
                <w:rFonts w:ascii="GHEA Grapalat" w:hAnsi="GHEA Grapalat"/>
                <w:sz w:val="24"/>
                <w:szCs w:val="24"/>
                <w:lang w:val="af-ZA"/>
              </w:rPr>
              <w:t xml:space="preserve"> </w:t>
            </w:r>
            <w:r w:rsidR="007F0E9A">
              <w:rPr>
                <w:rFonts w:ascii="GHEA Grapalat" w:hAnsi="GHEA Grapalat"/>
                <w:sz w:val="24"/>
                <w:szCs w:val="24"/>
                <w:lang w:val="af-ZA"/>
              </w:rPr>
              <w:t>5</w:t>
            </w:r>
            <w:r w:rsidRPr="007F0E9A">
              <w:rPr>
                <w:rFonts w:ascii="GHEA Grapalat" w:hAnsi="GHEA Grapalat"/>
                <w:sz w:val="24"/>
                <w:szCs w:val="24"/>
                <w:lang w:val="af-ZA"/>
              </w:rPr>
              <w:t xml:space="preserve">th floor </w:t>
            </w:r>
            <w:r w:rsidR="00745B34" w:rsidRPr="007F0E9A">
              <w:rPr>
                <w:rFonts w:ascii="Arial" w:hAnsi="Arial" w:cs="Arial"/>
              </w:rPr>
              <w:t>April 2</w:t>
            </w:r>
            <w:r w:rsidR="00745B34" w:rsidRPr="007F0E9A">
              <w:rPr>
                <w:rFonts w:ascii="Arial" w:hAnsi="Arial" w:cs="Arial"/>
                <w:lang w:val="en-US"/>
              </w:rPr>
              <w:t>5</w:t>
            </w:r>
            <w:r w:rsidR="00745B34" w:rsidRPr="007F0E9A">
              <w:rPr>
                <w:rFonts w:ascii="Arial" w:hAnsi="Arial" w:cs="Arial"/>
              </w:rPr>
              <w:t>, 2022</w:t>
            </w:r>
            <w:r w:rsidR="0059263E">
              <w:rPr>
                <w:rFonts w:ascii="Arial" w:hAnsi="Arial" w:cs="Arial"/>
                <w:lang w:val="en-US"/>
              </w:rPr>
              <w:t>,</w:t>
            </w:r>
            <w:r w:rsidR="00745B34" w:rsidRPr="007F0E9A">
              <w:rPr>
                <w:rFonts w:ascii="Arial" w:hAnsi="Arial" w:cs="Arial"/>
              </w:rPr>
              <w:t xml:space="preserve"> at 1</w:t>
            </w:r>
            <w:r w:rsidR="00745B34" w:rsidRPr="007F0E9A">
              <w:rPr>
                <w:rFonts w:ascii="Arial" w:hAnsi="Arial" w:cs="Arial"/>
                <w:lang w:val="en-US"/>
              </w:rPr>
              <w:t>1</w:t>
            </w:r>
            <w:r w:rsidR="00745B34" w:rsidRPr="007F0E9A">
              <w:rPr>
                <w:rFonts w:ascii="Arial" w:hAnsi="Arial" w:cs="Arial"/>
              </w:rPr>
              <w:t>:00.</w:t>
            </w:r>
          </w:p>
        </w:tc>
      </w:tr>
    </w:tbl>
    <w:p w14:paraId="4698E82B" w14:textId="77777777" w:rsidR="00E16AB0" w:rsidRPr="007F0E9A" w:rsidRDefault="00E16AB0" w:rsidP="00E16AB0">
      <w:pPr>
        <w:jc w:val="center"/>
        <w:rPr>
          <w:rFonts w:ascii="GHEA Grapalat" w:hAnsi="GHEA Grapalat"/>
        </w:rPr>
      </w:pPr>
    </w:p>
    <w:p w14:paraId="2DB9A39B" w14:textId="0FEAE7D4" w:rsidR="00745B34" w:rsidRPr="007F0E9A" w:rsidRDefault="00745B34" w:rsidP="00745B34">
      <w:pPr>
        <w:jc w:val="both"/>
        <w:rPr>
          <w:rFonts w:ascii="GHEA Grapalat" w:hAnsi="GHEA Grapalat"/>
          <w:sz w:val="16"/>
          <w:szCs w:val="16"/>
          <w:lang w:val="af-ZA"/>
        </w:rPr>
      </w:pPr>
      <w:r w:rsidRPr="007F0E9A">
        <w:rPr>
          <w:rFonts w:ascii="GHEA Grapalat" w:hAnsi="GHEA Grapalat"/>
          <w:sz w:val="16"/>
          <w:szCs w:val="16"/>
          <w:lang w:val="af-ZA"/>
        </w:rPr>
        <w:t>The request for bids is not bargaining (competition, auction) or public tender in accordance with Articles 463-465 and 1043-1047 of the Civil Code of the Republic of Armenia.</w:t>
      </w:r>
    </w:p>
    <w:p w14:paraId="730F9FAC" w14:textId="45C643A8" w:rsidR="009C4280" w:rsidRPr="00C03C41" w:rsidRDefault="00745B34" w:rsidP="00745B34">
      <w:pPr>
        <w:jc w:val="both"/>
        <w:rPr>
          <w:rFonts w:ascii="GHEA Grapalat" w:hAnsi="GHEA Grapalat"/>
          <w:lang w:val="af-ZA"/>
        </w:rPr>
      </w:pPr>
      <w:r w:rsidRPr="007F0E9A">
        <w:rPr>
          <w:rFonts w:ascii="GHEA Grapalat" w:hAnsi="GHEA Grapalat"/>
          <w:sz w:val="16"/>
          <w:szCs w:val="16"/>
          <w:lang w:val="af-ZA"/>
        </w:rPr>
        <w:t>This text of the announcement is approved by the decision of the tender evaluation commission No. "2" of March 1, 2022.</w:t>
      </w:r>
    </w:p>
    <w:sectPr w:rsidR="009C4280" w:rsidRPr="00C03C41" w:rsidSect="00DD439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048FA"/>
    <w:multiLevelType w:val="multilevel"/>
    <w:tmpl w:val="CD70CC78"/>
    <w:lvl w:ilvl="0">
      <w:start w:val="1"/>
      <w:numFmt w:val="decimal"/>
      <w:lvlText w:val="%1."/>
      <w:lvlJc w:val="left"/>
      <w:pPr>
        <w:ind w:left="720" w:hanging="360"/>
      </w:pPr>
    </w:lvl>
    <w:lvl w:ilvl="1">
      <w:start w:val="1"/>
      <w:numFmt w:val="decimal"/>
      <w:isLgl/>
      <w:lvlText w:val="%1.%2."/>
      <w:lvlJc w:val="left"/>
      <w:rPr>
        <w:rFonts w:hint="default"/>
        <w:b w:val="0"/>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89"/>
    <w:rsid w:val="000261A6"/>
    <w:rsid w:val="00060066"/>
    <w:rsid w:val="00060AFB"/>
    <w:rsid w:val="00075264"/>
    <w:rsid w:val="0007619C"/>
    <w:rsid w:val="00094F70"/>
    <w:rsid w:val="000D571C"/>
    <w:rsid w:val="00132ABC"/>
    <w:rsid w:val="00155711"/>
    <w:rsid w:val="00157654"/>
    <w:rsid w:val="00166B27"/>
    <w:rsid w:val="00186054"/>
    <w:rsid w:val="001E5AA9"/>
    <w:rsid w:val="002016E7"/>
    <w:rsid w:val="002347AB"/>
    <w:rsid w:val="00337FE0"/>
    <w:rsid w:val="003514D7"/>
    <w:rsid w:val="0035248F"/>
    <w:rsid w:val="003553FA"/>
    <w:rsid w:val="00383554"/>
    <w:rsid w:val="00442654"/>
    <w:rsid w:val="0045338F"/>
    <w:rsid w:val="00466923"/>
    <w:rsid w:val="004949FC"/>
    <w:rsid w:val="004B098D"/>
    <w:rsid w:val="004B2167"/>
    <w:rsid w:val="004D780C"/>
    <w:rsid w:val="004E5C67"/>
    <w:rsid w:val="00506215"/>
    <w:rsid w:val="005157C3"/>
    <w:rsid w:val="00527C76"/>
    <w:rsid w:val="005301FC"/>
    <w:rsid w:val="0059263E"/>
    <w:rsid w:val="005A264B"/>
    <w:rsid w:val="005D1AA1"/>
    <w:rsid w:val="006451F3"/>
    <w:rsid w:val="00663F79"/>
    <w:rsid w:val="006649BF"/>
    <w:rsid w:val="006701E3"/>
    <w:rsid w:val="00694B50"/>
    <w:rsid w:val="006C2144"/>
    <w:rsid w:val="00703C45"/>
    <w:rsid w:val="0072720A"/>
    <w:rsid w:val="00745B34"/>
    <w:rsid w:val="00792D87"/>
    <w:rsid w:val="00793B81"/>
    <w:rsid w:val="007B1A87"/>
    <w:rsid w:val="007C0D09"/>
    <w:rsid w:val="007D1189"/>
    <w:rsid w:val="007E2FED"/>
    <w:rsid w:val="007F0E9A"/>
    <w:rsid w:val="00804C3D"/>
    <w:rsid w:val="00824F11"/>
    <w:rsid w:val="00877A9D"/>
    <w:rsid w:val="008B7E0C"/>
    <w:rsid w:val="008D2B8F"/>
    <w:rsid w:val="008F319C"/>
    <w:rsid w:val="009205A4"/>
    <w:rsid w:val="009350BF"/>
    <w:rsid w:val="00935AB7"/>
    <w:rsid w:val="009418C6"/>
    <w:rsid w:val="00945E90"/>
    <w:rsid w:val="00984CF4"/>
    <w:rsid w:val="0099222F"/>
    <w:rsid w:val="00993C5C"/>
    <w:rsid w:val="009A7980"/>
    <w:rsid w:val="009B35A8"/>
    <w:rsid w:val="009C4280"/>
    <w:rsid w:val="009C7C97"/>
    <w:rsid w:val="009E1CB0"/>
    <w:rsid w:val="00A26FFF"/>
    <w:rsid w:val="00A36628"/>
    <w:rsid w:val="00A54735"/>
    <w:rsid w:val="00A81FC4"/>
    <w:rsid w:val="00AA0D4C"/>
    <w:rsid w:val="00AA5F55"/>
    <w:rsid w:val="00AC5C85"/>
    <w:rsid w:val="00AE1B13"/>
    <w:rsid w:val="00AF2987"/>
    <w:rsid w:val="00B12727"/>
    <w:rsid w:val="00B21DB6"/>
    <w:rsid w:val="00B373CF"/>
    <w:rsid w:val="00B422EE"/>
    <w:rsid w:val="00B443E3"/>
    <w:rsid w:val="00B51D2A"/>
    <w:rsid w:val="00B74599"/>
    <w:rsid w:val="00B92EDA"/>
    <w:rsid w:val="00B95A00"/>
    <w:rsid w:val="00C03C41"/>
    <w:rsid w:val="00C16DEB"/>
    <w:rsid w:val="00C22272"/>
    <w:rsid w:val="00C25F2D"/>
    <w:rsid w:val="00C41509"/>
    <w:rsid w:val="00C424FA"/>
    <w:rsid w:val="00C64AF9"/>
    <w:rsid w:val="00C65367"/>
    <w:rsid w:val="00C70685"/>
    <w:rsid w:val="00C75189"/>
    <w:rsid w:val="00C9396D"/>
    <w:rsid w:val="00CA796A"/>
    <w:rsid w:val="00D06B60"/>
    <w:rsid w:val="00D35032"/>
    <w:rsid w:val="00D36018"/>
    <w:rsid w:val="00D61097"/>
    <w:rsid w:val="00DA6C35"/>
    <w:rsid w:val="00DB4F55"/>
    <w:rsid w:val="00DC416E"/>
    <w:rsid w:val="00DD4399"/>
    <w:rsid w:val="00DE0845"/>
    <w:rsid w:val="00DE56B2"/>
    <w:rsid w:val="00DF7514"/>
    <w:rsid w:val="00E16AB0"/>
    <w:rsid w:val="00E551EF"/>
    <w:rsid w:val="00E62307"/>
    <w:rsid w:val="00E751C6"/>
    <w:rsid w:val="00E95CCC"/>
    <w:rsid w:val="00ED0297"/>
    <w:rsid w:val="00EE2CC0"/>
    <w:rsid w:val="00F1781A"/>
    <w:rsid w:val="00F37160"/>
    <w:rsid w:val="00F44F42"/>
    <w:rsid w:val="00F517F6"/>
    <w:rsid w:val="00F56EA4"/>
    <w:rsid w:val="00F713F6"/>
    <w:rsid w:val="00F83FBC"/>
    <w:rsid w:val="00F864EA"/>
    <w:rsid w:val="00F968DF"/>
    <w:rsid w:val="00FA17FD"/>
    <w:rsid w:val="00FB1692"/>
    <w:rsid w:val="00FF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DEC7"/>
  <w15:chartTrackingRefBased/>
  <w15:docId w15:val="{DD2FF97C-CC77-457C-9ACE-DF11B9E9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y-AM"/>
    </w:rPr>
  </w:style>
  <w:style w:type="paragraph" w:styleId="Heading2">
    <w:name w:val="heading 2"/>
    <w:basedOn w:val="Normal"/>
    <w:link w:val="Heading2Char"/>
    <w:uiPriority w:val="9"/>
    <w:qFormat/>
    <w:rsid w:val="00C25F2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16AB0"/>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16AB0"/>
    <w:rPr>
      <w:rFonts w:ascii="Arial LatArm" w:eastAsia="Times New Roman" w:hAnsi="Arial LatArm" w:cs="Times New Roman"/>
      <w:i/>
      <w:sz w:val="20"/>
      <w:szCs w:val="20"/>
      <w:lang w:val="en-AU"/>
    </w:rPr>
  </w:style>
  <w:style w:type="table" w:styleId="TableGrid">
    <w:name w:val="Table Grid"/>
    <w:basedOn w:val="TableNormal"/>
    <w:uiPriority w:val="39"/>
    <w:rsid w:val="00E1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8F31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9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81"/>
    <w:rPr>
      <w:rFonts w:ascii="Segoe UI" w:hAnsi="Segoe UI" w:cs="Segoe UI"/>
      <w:sz w:val="18"/>
      <w:szCs w:val="18"/>
      <w:lang w:val="hy-AM"/>
    </w:rPr>
  </w:style>
  <w:style w:type="character" w:styleId="Hyperlink">
    <w:name w:val="Hyperlink"/>
    <w:basedOn w:val="DefaultParagraphFont"/>
    <w:uiPriority w:val="99"/>
    <w:unhideWhenUsed/>
    <w:rsid w:val="00793B81"/>
    <w:rPr>
      <w:color w:val="0563C1" w:themeColor="hyperlink"/>
      <w:u w:val="single"/>
    </w:rPr>
  </w:style>
  <w:style w:type="character" w:customStyle="1" w:styleId="Heading2Char">
    <w:name w:val="Heading 2 Char"/>
    <w:basedOn w:val="DefaultParagraphFont"/>
    <w:link w:val="Heading2"/>
    <w:uiPriority w:val="9"/>
    <w:rsid w:val="00C25F2D"/>
    <w:rPr>
      <w:rFonts w:ascii="Times New Roman" w:eastAsia="Times New Roman" w:hAnsi="Times New Roman" w:cs="Times New Roman"/>
      <w:b/>
      <w:bCs/>
      <w:sz w:val="36"/>
      <w:szCs w:val="36"/>
      <w:lang w:val="en-US"/>
    </w:rPr>
  </w:style>
  <w:style w:type="character" w:customStyle="1" w:styleId="UnresolvedMention1">
    <w:name w:val="Unresolved Mention1"/>
    <w:basedOn w:val="DefaultParagraphFont"/>
    <w:uiPriority w:val="99"/>
    <w:semiHidden/>
    <w:unhideWhenUsed/>
    <w:rsid w:val="00D06B60"/>
    <w:rPr>
      <w:color w:val="605E5C"/>
      <w:shd w:val="clear" w:color="auto" w:fill="E1DFDD"/>
    </w:rPr>
  </w:style>
  <w:style w:type="paragraph" w:styleId="ListParagraph">
    <w:name w:val="List Paragraph"/>
    <w:basedOn w:val="Normal"/>
    <w:uiPriority w:val="34"/>
    <w:qFormat/>
    <w:rsid w:val="00AE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556718">
      <w:bodyDiv w:val="1"/>
      <w:marLeft w:val="0"/>
      <w:marRight w:val="0"/>
      <w:marTop w:val="0"/>
      <w:marBottom w:val="0"/>
      <w:divBdr>
        <w:top w:val="none" w:sz="0" w:space="0" w:color="auto"/>
        <w:left w:val="none" w:sz="0" w:space="0" w:color="auto"/>
        <w:bottom w:val="none" w:sz="0" w:space="0" w:color="auto"/>
        <w:right w:val="none" w:sz="0" w:space="0" w:color="auto"/>
      </w:divBdr>
    </w:div>
    <w:div w:id="1195581133">
      <w:bodyDiv w:val="1"/>
      <w:marLeft w:val="0"/>
      <w:marRight w:val="0"/>
      <w:marTop w:val="0"/>
      <w:marBottom w:val="0"/>
      <w:divBdr>
        <w:top w:val="none" w:sz="0" w:space="0" w:color="auto"/>
        <w:left w:val="none" w:sz="0" w:space="0" w:color="auto"/>
        <w:bottom w:val="none" w:sz="0" w:space="0" w:color="auto"/>
        <w:right w:val="none" w:sz="0" w:space="0" w:color="auto"/>
      </w:divBdr>
    </w:div>
    <w:div w:id="1766415978">
      <w:bodyDiv w:val="1"/>
      <w:marLeft w:val="0"/>
      <w:marRight w:val="0"/>
      <w:marTop w:val="0"/>
      <w:marBottom w:val="0"/>
      <w:divBdr>
        <w:top w:val="none" w:sz="0" w:space="0" w:color="auto"/>
        <w:left w:val="none" w:sz="0" w:space="0" w:color="auto"/>
        <w:bottom w:val="none" w:sz="0" w:space="0" w:color="auto"/>
        <w:right w:val="none" w:sz="0" w:space="0" w:color="auto"/>
      </w:divBdr>
      <w:divsChild>
        <w:div w:id="1997881811">
          <w:marLeft w:val="0"/>
          <w:marRight w:val="0"/>
          <w:marTop w:val="0"/>
          <w:marBottom w:val="0"/>
          <w:divBdr>
            <w:top w:val="none" w:sz="0" w:space="0" w:color="auto"/>
            <w:left w:val="none" w:sz="0" w:space="0" w:color="auto"/>
            <w:bottom w:val="none" w:sz="0" w:space="0" w:color="auto"/>
            <w:right w:val="none" w:sz="0" w:space="0" w:color="auto"/>
          </w:divBdr>
        </w:div>
        <w:div w:id="1487551608">
          <w:marLeft w:val="0"/>
          <w:marRight w:val="0"/>
          <w:marTop w:val="0"/>
          <w:marBottom w:val="0"/>
          <w:divBdr>
            <w:top w:val="none" w:sz="0" w:space="0" w:color="auto"/>
            <w:left w:val="none" w:sz="0" w:space="0" w:color="auto"/>
            <w:bottom w:val="none" w:sz="0" w:space="0" w:color="auto"/>
            <w:right w:val="none" w:sz="0" w:space="0" w:color="auto"/>
          </w:divBdr>
          <w:divsChild>
            <w:div w:id="860358262">
              <w:marLeft w:val="0"/>
              <w:marRight w:val="165"/>
              <w:marTop w:val="150"/>
              <w:marBottom w:val="0"/>
              <w:divBdr>
                <w:top w:val="none" w:sz="0" w:space="0" w:color="auto"/>
                <w:left w:val="none" w:sz="0" w:space="0" w:color="auto"/>
                <w:bottom w:val="none" w:sz="0" w:space="0" w:color="auto"/>
                <w:right w:val="none" w:sz="0" w:space="0" w:color="auto"/>
              </w:divBdr>
              <w:divsChild>
                <w:div w:id="135689666">
                  <w:marLeft w:val="0"/>
                  <w:marRight w:val="0"/>
                  <w:marTop w:val="0"/>
                  <w:marBottom w:val="0"/>
                  <w:divBdr>
                    <w:top w:val="none" w:sz="0" w:space="0" w:color="auto"/>
                    <w:left w:val="none" w:sz="0" w:space="0" w:color="auto"/>
                    <w:bottom w:val="none" w:sz="0" w:space="0" w:color="auto"/>
                    <w:right w:val="none" w:sz="0" w:space="0" w:color="auto"/>
                  </w:divBdr>
                  <w:divsChild>
                    <w:div w:id="1699811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car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2022-02-14T06:50:00Z</cp:lastPrinted>
  <dcterms:created xsi:type="dcterms:W3CDTF">2022-04-11T14:12:00Z</dcterms:created>
  <dcterms:modified xsi:type="dcterms:W3CDTF">2022-04-13T07:47:00Z</dcterms:modified>
</cp:coreProperties>
</file>